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3" w:rsidRPr="00994A23" w:rsidRDefault="00994A23" w:rsidP="00994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АДМИНИСТРАЦИЯ ГОРОДА ТЮМЕНИ</w:t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24 октября 2011 года N 108-пк</w:t>
      </w:r>
      <w:proofErr w:type="gramStart"/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994A2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утверждении Порядка установки и содержания информационных указателей, указателей с наименованиями улиц и номерами домов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 июля 2018 года)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 постановлений Администрации города Тюмени </w:t>
      </w:r>
      <w:hyperlink r:id="rId5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28.12.2011 N 152-пк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21.07.2014 N 132-пк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26.01.2015 N 9-пк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21.12.2015 N 303-пк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proofErr w:type="gramStart"/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</w:t>
        </w:r>
        <w:proofErr w:type="gramEnd"/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08.06.2016 N 172-пк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02.07.2018 N 339-пк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соответствии с </w:t>
      </w:r>
      <w:hyperlink r:id="rId11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руководствуясь статьями 7, 45, 58 </w:t>
      </w:r>
      <w:hyperlink r:id="rId12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Устава города Тюмени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Администрация города Тюмени постановила: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Утвердить Порядок установки и содержания информационных указателей, указателей с наименованиями улиц и номерами домов согласно приложению 1 к настоящему постановлению.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1 в ред. постановления Администрации города Тюмени </w:t>
      </w:r>
      <w:hyperlink r:id="rId13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08.06.2016 N 172-пк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2 - 3. Исключены. - Постановление Администрации города Тюмени </w:t>
      </w:r>
      <w:hyperlink r:id="rId14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28.12.2011 N 152-пк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 Информационно-аналитическому управлению административного департамента Администрации города Тюмени опубликовать настоящее постановление в средствах массовой информации и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разместить его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 официальном сайте Администрации города Тюмени.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Признать утратившими силу: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постановление Администрации города Тюмени от 15.12.2006 N 29-пк "Об утверждении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Порядка установки указателей наименований элементов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улично-дорожной сети, остановочных пунктов общественного городского транспорта и других частей города Тюмени";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постановление Администрации города Тюмени от 15.11.2007 N 36-пк "О внесении изменений в постановление Администрации города Тюмени от 15.12.2006 N 29-пк";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постановление Администрации города Тюмени от 03.07.2008 N 81-пк "О внесении изменений в постановление Администрации города Тюмени от 15.12.2006 N 29-пк";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постановление Администрации города Тюмени от 15.08.2008 N 109-пк "О внесении изменений в постановление Администрации города Тюмени от 15.12.2006 N 29-пк".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Исключен. - Постановление Администрации города Тюмени </w:t>
      </w:r>
      <w:hyperlink r:id="rId15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02.07.2018 N 339-пк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Глава Администрации города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А.В.МООР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94A2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1. Порядок установки и содержания информационных указателей, указателей с наименованиями улиц и номерами домов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1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24.10.2011 N 108-пк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 постановления Администрации города Тюмени </w:t>
      </w:r>
      <w:hyperlink r:id="rId16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08.06.2016 N 172-пк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Порядок установки и содержания информационных указателей, указателей с наименованиями улиц и номерами домов (далее - Порядок) разработан в соответствии с </w:t>
      </w:r>
      <w:hyperlink r:id="rId17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Правительства РФ от 19.11.2014 N 1221 "Об утверждении Правил присвоения, изменения и аннулирования адресов"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9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Уставом города Тюмени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решением Тюменской городской </w:t>
      </w:r>
      <w:hyperlink r:id="rId20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Думы от 26.06.2008 N 81</w:t>
        </w:r>
        <w:proofErr w:type="gramEnd"/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"О Правилах благоустройства территории города Тюмени"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устанавливает требования к информационным указателям, указателям с наименованиями улиц и номерами домов, их размещению и содержанию.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Для целей настоящего Порядка используются следующие понятия: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информационный указатель - указатель с наименованием сквера, сада, парка, площади, бульвара, аллеи, набережной, указатель территориального деления города Тюмени;</w:t>
      </w:r>
      <w:proofErr w:type="gramEnd"/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адресный указатель - указатель, содержащий наименование улицы и (или) номер дома в соответствии с адресом, присвоенным дому, который может быть выполнен в виде: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указателя "Совмещенный" - указателя наименования улицы и номера дома, выполненного в единой конструкции;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указателя "Эконом" - указателя номера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указателя "Гостевой" - указателя наименования улицы и указателя номера дома, выполненных в виде двух отдельных конструкций;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в) улица - улица, переулок, проезд, тупик,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дом - здание, сооружение, объект незавершенного строительства, пристроенное помещение, временная постройка, которым в установленном порядке присвоен адрес.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Тюмени.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Установка информационных и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Установка информационных и адресных указателей осуществляется в соответствии с Требованиями к внешнему виду и установке информационных и адресных указателей согласно приложению к настоящему Порядку.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Установку информационных указателей обеспечивают муниципальные казенные учреждения, подведомственные территориальным органам Администрации города Тюмени (далее - уполномоченные организации) в пределах средств бюджета города Тюмени на соответствующий финансовый год и плановый период.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Установку адресных указателей обеспечивают: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лица, обязанные в силу требований действующего законодательства, муниципальных правовых актов города Тюмени, договора содержать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застройщик дома.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 Установка информационных указателей осуществляется не позднее 90 календарных дней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присвоения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наименований элементам планировочной структуры, элементам улично-дорожной сети, с даты установления границ территорий административных округов.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Установка адресных указателей осуществляется не позднее 30 календарных дней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присвоения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адреса дому.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Установка адресных указателей осуществляется застройщиком дома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 обращения с заявлением о выдаче разрешения на ввод объекта в эксплуатацию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соответствии с </w:t>
      </w:r>
      <w:hyperlink r:id="rId21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Запрещается установка адресных указателей, не соответствующих Требованиям к внешнему виду и установке информационных и адресных указателей.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Содержание информационных и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Содержание информационных указателей обеспечивают уполномоченные организации в пределах средств бюджета города Тюмени на соответствующий финансовый год и плановый период.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Содержание адресных указателей обеспечивают: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лица, обязанные в силу требований действующего законодательства, муниципальных правовых актов города Тюмени, договора содержать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застройщик дома.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Содержание информационных и адресных указателей включает в себя осуществление следующих мероприятий: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обеспечение наличия информационных и адресных указателей в местах их установки;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содержание в технически исправном состоянии;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обеспечение работоспособности осветительных приборов в темное время суток;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установка и замена осветительных приборов;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периодическая очистка информационных и адресных указателей;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замена непригодных и не подлежащих восстановлению информационных и адресных указателей.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Периодичность осуществления мероприятий по содержанию информационных и адресных указателей должна обеспечивать постоянное наличие чистых, исправных и не имеющих повреждений указателей в местах их установки.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При ремонте фасадов домов адресные указатели должны быть восстановлены к моменту окончания ремонта в соответствии с гражданским законодательством.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4. Замена информационных и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Замена информационных и адресных указателей осуществляется: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рамках содержания информационных указателей;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случаях, предусмотренных пунктами 4.2 - 4.5 настоящего Порядка.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В случае изменения наименований элементов планировочной структуры, наименований элементов улично-дорожной сети замену информационных указателей обеспечивают уполномоченные организации в пределах средств бюджета города Тюмени на соответствующий финансовый год и плановый период.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4.3.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случае изменения адреса дома, замену адресных указателей обеспечивают лица, обязанные в силу требований действующего законодательства, муниципальных правовых актов города Тюмени, договора содержать дома, на которых размещены данные указатели, за исключением случая, предусмотренного пунктом 4.4 настоящего Порядка.</w:t>
      </w:r>
      <w:proofErr w:type="gramEnd"/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В случае изменения адреса дома в результате изменения наименования улицы, замену адресных указателей обеспечивают уполномоченные организации в пределах средств бюджета города Тюмени на соответствующий финансовый год и плановый период.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В случае изменения требований к внешнему виду адресных указателей замену адресных указателей обеспечивают уполномоченные организации в пределах средств бюджета города Тюмени на соответствующий финансовый год и плановый период.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4.6. Замена информационных указателей в случае, предусмотренном пунктом 4.2 Порядка, осуществляется не позднее 90 календарных дней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изменения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наименования элемента планировочной структуры, наименования элемента улично-дорожной сети.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Замена адресных указателей в случае, предусмотренном пунктом 4.3 Порядка, осуществляется не позднее 90 календарных дней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изменения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адреса дома.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Замена адресных указателей в случае, предусмотренном пунктом 4.4 Порядка, осуществляется не позднее 90 календарных дней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даты изменения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наименования улицы.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Замена адресных указателей в случае, предусмотренном пунктом 4.5 Порядка, осуществляется не позднее 90 календарных дней с даты вступления в силу муниципального правового акта, изменяющего требования к внешнему виду адресных указателей.</w:t>
      </w:r>
      <w:proofErr w:type="gramEnd"/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5. Ответственность и контроль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 Лица, виновные в нарушении требований, установленных настоящим Порядком, несут ответственность в соответствии с действующим законодательством Российской Федерации.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 Ответственность за наличие, размещение в соответствии с настоящим Порядком, содержание информационных и адресных указателей несут лица, указанные в пунктах 3.1, 3.2 настоящего Порядка.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5.3.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 соблюдением физическими и юридическими лицами требований настоящего Порядка, установленных в отношении адресных указателей (далее соответственно - контроль, Требования), осуществляют уполномоченные организации при проведении плановых осмотров территории имущественных комплексов, а также по обращениям физических или юридических лиц о выявленных нарушениях Требований, в том числе, поступившим посредством муниципальной информационной системы "Портал управления городом "Тюмень - наш дом".</w:t>
      </w:r>
      <w:proofErr w:type="gramEnd"/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5.4. При выявлении нарушений Требований либо при поступлении обращений физических или юридических лиц о выявленных нарушениях Требований должностные лица уполномоченных организаций принимают меры по привлечению виновных лиц к административной ответственности в порядке, установленном действующим законодательством.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94A23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Приложение. Требования к внешнему виду и установке информационных и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>1. Требования к внешнему виду и размещению информационных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 Информационные указатели представляют собой устройство в виде панели, изготовленное с применением материалов или защитного покрытия, а также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световозвращающей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пленки с интенсивностью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световозвращения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соответствующей пленке типа А либо выше, в соответствии с требованиями ГОСТ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52290-2004. Национальный стандарт Российской Федерации. Технические средства организации дорожного движения. Знаки дорожные. Общие технические требования (далее - ГОСТ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52290-2004), установленными в отношении дорожных знаков.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Перечень образцов используемых информационных указателей приведен в приложении 1 к настоящим Требованиям.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1.2. Информационные указатели имеют прямоугольную форму. Размеры таких указателей, а также шрифт надписей и высота букв, выполняемых на них, определяются в соответствии с требованиями ГОСТ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52290-2004, установленными в отношении дорожного знака 6.11, размещаемого в населенных пунктах на дорогах и улицах местного значения.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Надписи на информационных указателях выполняются белым цветом на синем фоне.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Написание наименований на информационных указателях производится в соответствии с наименованиями, присвоенными в порядке, предусмотренном муниципальным правовым актом города Тюмени.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Написание наименований элементов планировочной структуры, элементов улично-дорожной сети на информационных указателях должно выполняться прописными буквами без сокращения, а слов, характеризующих элементы планировочной структуры, элементы улично-дорожной сети - строчными буквами без сокращения (например: сквер ТЕНИСТЫЙ).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1.6. На информационных указателях допускается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двухстрочное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написание соответственно наименований элементов планировочной структуры, элементов улично-дорожной сети.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1.7.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Информационные указатели устанавливаются горизонтально на двух отдельно стоящих опорах (стойках) на входе (въезде) на территорию сквера, сада, парка, площади, бульвара, аллеи, набережной и в ее пределах.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Место установки информационного указателя должно обеспечивать его обзор при входе (въезде) на территорию.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1.8. Опоры (стойки) информационных указателей представляют собой оцинкованные трубы диаметром 57 мм либо 76 мм, произведенные в соответствии с ГОСТ 10705-80 "Трубы стальные электросварные. Технические условия" и оцинкованные методом горячего оцинкования.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Высота опор (стоек) информационных указателей от уровня земли составляет 2,50 - 2,80 м, расстояние от уровня земли до нижнего края панели информационного указателя составляет 2,10 - 2,40 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1.9. На опорах (стойках) информационных указателей с наименованиями скверов, садов, парков, площадей, бульваров, аллей, которые названы в честь выдающихся государственных и общественных деятелей и других имеющих заслуги перед государством лиц, размещаются прямоугольные панели с краткой информацией о биографии.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Надписи на панелях с краткой информацией о биографии выполняются черным цветом на белом фоне, высота строчных букв не менее 20 мм, прописных букв не менее 30 мм.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Расстояние от уровня земли до нижнего края панели с краткой информацией о биографии составляет не менее 1,40 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1.10. Требования пунктов 1.1 - 1.9 настоящей главы не распространяются в отношении указателей территориального деления города Тюмени.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Требования к внешнему виду и размещению указателей территориального деления города Тюмени устанавливаются приказом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руководителя территориального органа Администрации города Тюмени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соответствующему административному округу.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>2. Требования к внешнему виду и размещению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Адресный указатель "Совмещенный" устанавливается на домах, за исключением случаев, предусмотренных пунктами 2.2 и 2.3 настоящих Требований.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Адресный указатель "Эконом" устанавливается на индивидуальных жилых домах, за исключением домов под номером один и номером два и домов, расположенных на перекрестках.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Адресный указатель "Гостевой" устанавливается на домах, расположенных вдоль улиц, перечень которых определен приложением 2 к настоящим Требованиям.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Перечень образцов используемых адресных указателей приведен в приложении 3 к настоящим Требованиям.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Адресный указатель "Совмещенный" представляет собой конструкцию в виде панели, имеющей прямоугольную форму с закруглением в средней верхней части радиусом 150 мм для размещения номера дома: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а) размером 800 мм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200 мм, а в районах малоэтажной застройки размером 600 мм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160 мм, если надпись, обозначающая наименование улицы и номер дома, содержит до 7 элементов в строке;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б) размером 1000 мм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200 мм, а в районах малоэтажной застройки - 800 мм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160 мм, если надпись, обозначающая наименование улицы и номер дома, содержит более 7 элементов в строке.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Адресный указатель "Совмещенный" изготавливается в соответствии с пунктом 1.1 настоящих Требований.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адресном указателе "Совмещенный" должна быть выполнена кайма белого цвета шириной 10 мм, внутренний радиус закругления каймы - 10 мм.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2.6. Адресный указатель "Эконом" представляет собой конструкцию в виде панели, имеющей прямоугольную форму размером 160 мм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160 мм.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Адресный указатель "Эконом" изготавливается в соответствии с пунктом 1.1 настоящих Требований.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адресном указателе "Эконом" должна быть выполнена кайма белого цвета шириной 10 мм, внутренний радиус закругления каймы - 10 мм.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2.7. Адресный указатель "Гостевой" представляет собой конструкцию с внутренним подсветом, размерами 1300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325 мм для указателя наименования улицы, 325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x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325 мм для указателя номера дома, изготовленную </w:t>
      </w: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из</w:t>
      </w:r>
      <w:proofErr w:type="gram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металлической задней стенки с размещенным на ней электрооборудованием;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формованной крышки, выполненной из листового полиэтилентерефталата, на синем фоне (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Ral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 5005) буквы белого цвета (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Ral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 9010).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внутренней подсветки адресного указателя "Гостевой" применяются светодиоды. Подсвет должен обеспечивать равномерную освещенность информационного поля адресного указателя, читаемость информации.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 Написание наименований улиц, номеров домов на адресных указателях производится в соответствии со сведениями об адресах, содержащихся в государственном адресном реестре.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Написание наименований улиц на адресных указателях "Совмещенный" должно выполняться прописными буквами без сокращения, а слов, характеризующих соответствующие элементы улично-дорожной сети, - строчными с сокращением (например: ул. РЕСПУБЛИКИ).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На адресных указателях "Совмещенный" не допускается перенос слов и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двухстрочное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 при написании наименований улиц и номеров домов.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 Написание наименований улиц на адресных указателях "Гостевой" должно выполняться прописными буквами без сокращения, и слов, характеризующих соответствующие элементы улично-дорожной сети, - строчными без сокращения (например: улица РЕСПУБЛИКИ). Номер строения (корпуса) обозначается цифрой, при этом слова "строение", "корпус" пишутся полностью.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 Адресные указатели "Совмещенный" размещаются: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по горизонтали - с левой стороны главного фасада дома на расстоянии не более 1 м от угла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по вертикали - на расстоянии от 2,5 до 3,5 м от уровня земли, на одноэтажных индивидуальных жилых домах допускается установка на расстоянии не менее 2,0 м от уровня земли или на заборах индивидуальных жилых домов слева от входа на высоте не менее 2,0 м от уровня земли;</w:t>
      </w:r>
      <w:proofErr w:type="gramEnd"/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при длине фасада дома более 100 м - на его противоположных сторонах;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г) при расположении дома на перекрестке - на угловом участке фасада со стороны улицы, являющейся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адресообразующим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элементом объекта адресации;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при общей длине периметра дома более 100 м допускается размещение на нем более одного указателя;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на оградах и корпусах промышленных объектов - слева от главного входа, въезда.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2.12. Адресные указатели "Эконом" размещаются: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по горизонтали - с левой стороны фасада индивидуального жилого дома на расстоянии не более 1 м от угла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по вертикали - на расстоянии от 2,5 до 3,5 м от уровня земли, на одноэтажных индивидуальных жилых домах допускается установка на расстоянии не менее 2,0 м от уровня земли или на заборах индивидуальных жилых домов слева от входа на высоте не менее 2,0 м от уровня земли.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2.13. Адресные указатели "Гостевой" размещаются: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расположенные по нечетной стороне улицы с левой стороны главного фасада дома, а по четной стороне - с правой стороны главного фасада дома (при ориентации со стороны тротуара);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на улицах с односторонним движением транспорта - на стороне главного фасада дома, ближней по направлению движения транспорта;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по горизонтали - на расстоянии не менее 325 мм от угла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по вертикали - на расстоянии от 2,5 м до 5 м от уровня земли, как правило, между первым и вторым этажами дома;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у арки - на расстоянии не менее 325 мм от арки с правой стороны или над проемом;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при длине фасада дома более 100 м - на его противоположных сторонах;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ж) при расположении дома на перекрестке - на угловом участке фасада со стороны улицы, являющейся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адресообразующим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элементом объекта адресации, при этом, на смежной стороне на угловом участке фасада размещается указатель улицы, выполненный в виде отдельной конструкции;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при общей длине периметра дома более 100 м допускается размещение на нем более одного указателя;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на оградах и корпусах промышленных объектов - справа от главного входа, въезда;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на строящихся домах, которым присвоен адрес.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2.14. Рекомендуемые типовые схемы размещения адресных указателей приведены в приложении 4 к настоящим Требованиям.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Приложение 1. Перечень образцов информационных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1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Требованиям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1: Образец информационного указателя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8410575"/>
            <wp:effectExtent l="19050" t="0" r="0" b="0"/>
            <wp:docPr id="3" name="Рисунок 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lastRenderedPageBreak/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2: Образец информационного указателя с краткой информацией о биографии</w:t>
      </w:r>
    </w:p>
    <w:p w:rsidR="00994A23" w:rsidRPr="00994A23" w:rsidRDefault="00994A23" w:rsidP="005C30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8867775"/>
            <wp:effectExtent l="19050" t="0" r="0" b="0"/>
            <wp:docPr id="4" name="Рисунок 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5C30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078" w:rsidRDefault="00994A23" w:rsidP="005C3078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2. Перечень улиц, на домах вдоль которых устанавливается</w:t>
      </w:r>
    </w:p>
    <w:p w:rsidR="00994A23" w:rsidRPr="00994A23" w:rsidRDefault="00994A23" w:rsidP="005C3078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адресный указатель "Гостевой"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2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Требованиям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улица Республики.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улица Профсоюзная.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улица Комсомольская.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улица Луначарского.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улица Ямская.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улица Ленина.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улица Герцена.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улица Первомайская.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 улица Челюскинцев.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 улица Водопроводная.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 улица 8 марта.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 улица Орджоникидзе.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13. улица Володарского.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 улица Хохрякова.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15. улица Советская.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16. улица Кирова.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17. улица </w:t>
      </w:r>
      <w:proofErr w:type="spellStart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Семакова</w:t>
      </w:r>
      <w:proofErr w:type="spellEnd"/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18. улица Красина.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19. улица Малыгина.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5C3078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3. Перечень образцов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3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Требованиям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1: Адресный указатель "Совмещенный", надпись до 7 элементов в строке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w:drawing>
          <wp:inline distT="0" distB="0" distL="0" distR="0">
            <wp:extent cx="5505450" cy="1943100"/>
            <wp:effectExtent l="19050" t="0" r="0" b="0"/>
            <wp:docPr id="5" name="Рисунок 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2: Адресный указатель "Совмещенный", надпись до 7 элементов в строке в районах малоэтажной застройки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2000250"/>
            <wp:effectExtent l="19050" t="0" r="0" b="0"/>
            <wp:docPr id="6" name="Рисунок 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3: Адресный указатель "Совмещенный", надпись более 7 элементов в строке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1876425"/>
            <wp:effectExtent l="19050" t="0" r="0" b="0"/>
            <wp:docPr id="7" name="Рисунок 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4: Адресный указатель "Совмещенный", надпись более 7 элементов в строке в районах малоэтажной застройки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w:drawing>
          <wp:inline distT="0" distB="0" distL="0" distR="0">
            <wp:extent cx="5505450" cy="1895475"/>
            <wp:effectExtent l="19050" t="0" r="0" b="0"/>
            <wp:docPr id="8" name="Рисунок 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5: Адресный указатель "Эконом"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2428875"/>
            <wp:effectExtent l="19050" t="0" r="0" b="0"/>
            <wp:docPr id="9" name="Рисунок 9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6: Адресный указатель "Гостевой"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3200400"/>
            <wp:effectExtent l="19050" t="0" r="0" b="0"/>
            <wp:docPr id="10" name="Рисунок 10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5C3078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94A23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4. Типовые схемы размещения адресных указателей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Приложение 4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Требованиям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1: Размещение указателя "Совмещенный" на фасаде дома менее 100 м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7629525"/>
            <wp:effectExtent l="19050" t="0" r="0" b="0"/>
            <wp:docPr id="11" name="Рисунок 11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Рисунок 2: Размещение указателя "Совмещенный" на одноэтажных индивидуальных жилых домах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3857625"/>
            <wp:effectExtent l="19050" t="0" r="0" b="0"/>
            <wp:docPr id="12" name="Рисунок 12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3: Размещение указателя "Совмещенный" на фасаде дома более 100 м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4505325"/>
            <wp:effectExtent l="19050" t="0" r="0" b="0"/>
            <wp:docPr id="13" name="Рисунок 1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4: Размещение указателя "Совмещенный" при расположении дома на перекрестке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6419850"/>
            <wp:effectExtent l="19050" t="0" r="0" b="0"/>
            <wp:docPr id="14" name="Рисунок 1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5: Размещение указателя "Совмещенный" на оградах и корпусах промышленных объектов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2676525"/>
            <wp:effectExtent l="19050" t="0" r="0" b="0"/>
            <wp:docPr id="15" name="Рисунок 1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6: Размещение указателя "Эконом" на одноэтажных индивидуальных жилых домах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4019550"/>
            <wp:effectExtent l="19050" t="0" r="0" b="0"/>
            <wp:docPr id="16" name="Рисунок 1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7: Размещение указателя "Гостевой" при длине фасада менее 100 м по нечетной стороне улицы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994A23" w:rsidRPr="00994A23" w:rsidTr="00994A23">
        <w:trPr>
          <w:trHeight w:val="15"/>
        </w:trPr>
        <w:tc>
          <w:tcPr>
            <w:tcW w:w="4990" w:type="dxa"/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4A23" w:rsidRPr="00994A23" w:rsidTr="00994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A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A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2</w:t>
            </w:r>
          </w:p>
        </w:tc>
      </w:tr>
      <w:tr w:rsidR="00994A23" w:rsidRPr="00994A23" w:rsidTr="00994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200400" cy="4648200"/>
                  <wp:effectExtent l="19050" t="0" r="0" b="0"/>
                  <wp:docPr id="17" name="Рисунок 1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200400" cy="4781550"/>
                  <wp:effectExtent l="19050" t="0" r="0" b="0"/>
                  <wp:docPr id="18" name="Рисунок 1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78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8: Размещение указателя "Гостевой" при длине фасада менее 100 м по четной стороне улицы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994A23" w:rsidRPr="00994A23" w:rsidTr="00994A23">
        <w:trPr>
          <w:trHeight w:val="15"/>
        </w:trPr>
        <w:tc>
          <w:tcPr>
            <w:tcW w:w="4990" w:type="dxa"/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4A23" w:rsidRPr="00994A23" w:rsidTr="00994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A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A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2</w:t>
            </w:r>
          </w:p>
        </w:tc>
      </w:tr>
      <w:tr w:rsidR="00994A23" w:rsidRPr="00994A23" w:rsidTr="00994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200400" cy="4819650"/>
                  <wp:effectExtent l="19050" t="0" r="0" b="0"/>
                  <wp:docPr id="19" name="Рисунок 19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A23" w:rsidRPr="00994A23" w:rsidRDefault="00994A23" w:rsidP="00994A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200400" cy="5172075"/>
                  <wp:effectExtent l="19050" t="0" r="0" b="0"/>
                  <wp:docPr id="20" name="Рисунок 20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9: Размещение указателя "Гостевой" при длине фасада менее 100 м при расположении дома на улице с односторонним движением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7600950"/>
            <wp:effectExtent l="19050" t="0" r="0" b="0"/>
            <wp:docPr id="21" name="Рисунок 21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10: Размещение указателя "Гостевой" у арки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3657600"/>
            <wp:effectExtent l="19050" t="0" r="0" b="0"/>
            <wp:docPr id="22" name="Рисунок 22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3695700"/>
            <wp:effectExtent l="19050" t="0" r="0" b="0"/>
            <wp:docPr id="23" name="Рисунок 2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11: Размещение указателя "Гостевой" при длине фасада более 100 м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4533900"/>
            <wp:effectExtent l="19050" t="0" r="0" b="0"/>
            <wp:docPr id="24" name="Рисунок 2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4562475"/>
            <wp:effectExtent l="19050" t="0" r="0" b="0"/>
            <wp:docPr id="25" name="Рисунок 2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12: Размещение указателя "Гостевой" при расположении дома на перекрестке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6686550"/>
            <wp:effectExtent l="19050" t="0" r="0" b="0"/>
            <wp:docPr id="26" name="Рисунок 2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13: Размещение указателя "Гостевой" на оградах и корпусах промышленных объектов</w:t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2781300"/>
            <wp:effectExtent l="19050" t="0" r="0" b="0"/>
            <wp:docPr id="27" name="Рисунок 2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P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23" w:rsidRPr="00994A23" w:rsidRDefault="00994A23" w:rsidP="00994A23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994A23" w:rsidRPr="00994A23" w:rsidRDefault="00994A23" w:rsidP="00994A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505450" cy="2686050"/>
            <wp:effectExtent l="19050" t="0" r="0" b="0"/>
            <wp:docPr id="28" name="Рисунок 2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орядка установки и содержания информационных указателей, указателей с наименованиями улиц и номерами домов (с изменениями на 2 июля 2018 года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3" w:rsidRDefault="00994A23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00000000000000000000000000000000000000"/>
      <w:r w:rsidRPr="00994A2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bookmarkEnd w:id="0"/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8" w:rsidRPr="00994A23" w:rsidRDefault="005C3078" w:rsidP="00994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23" w:rsidRPr="00994A23" w:rsidRDefault="00994A23" w:rsidP="00994A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94A23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2. Регламент компенсации гражданам расходов, понесенных в связи с переименованием улиц в городе Тюмени. - Исключен</w:t>
      </w:r>
    </w:p>
    <w:p w:rsidR="005C3078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C3078" w:rsidRDefault="005C3078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C3078" w:rsidRDefault="005C3078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C3078" w:rsidRDefault="005C3078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994A23" w:rsidRPr="00994A23" w:rsidRDefault="00994A23" w:rsidP="00994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2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</w:t>
      </w: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24.10.2011 N 108-пк</w:t>
      </w:r>
    </w:p>
    <w:p w:rsidR="00994A23" w:rsidRPr="00994A23" w:rsidRDefault="00994A23" w:rsidP="00994A2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Исключен. - Постановление Администрации города Тюмени </w:t>
      </w:r>
      <w:hyperlink r:id="rId48" w:history="1">
        <w:r w:rsidRPr="00994A23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28.12.2011 N 152-пк</w:t>
        </w:r>
      </w:hyperlink>
      <w:r w:rsidRPr="00994A2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0"/>
        <w:gridCol w:w="2226"/>
        <w:gridCol w:w="2288"/>
        <w:gridCol w:w="2181"/>
        <w:gridCol w:w="1821"/>
      </w:tblGrid>
      <w:tr w:rsidR="00994A23" w:rsidRPr="00994A23" w:rsidTr="00994A23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29" name="Рисунок 29" descr="http://docs.cntd.ru/general/images/pattern/bottom/logo-t.png">
                    <a:hlinkClick xmlns:a="http://schemas.openxmlformats.org/drawingml/2006/main" r:id="rId4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ocs.cntd.ru/general/images/pattern/bottom/logo-t.png">
                            <a:hlinkClick r:id="rId4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A23" w:rsidRPr="00994A23" w:rsidRDefault="00994A23" w:rsidP="00994A2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tooltip="Нормы, правила, стандарты и законодательство по техрегулированию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994A23" w:rsidRPr="00994A23" w:rsidRDefault="00994A23" w:rsidP="00994A2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tooltip="Типовая проектная документация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tooltip="Технологические описания оборудования и материалов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994A23" w:rsidRPr="00994A23" w:rsidRDefault="00994A23" w:rsidP="0099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important_docs_dl" w:tooltip="Важные документы" w:history="1">
              <w:r w:rsidRPr="00994A23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tooltip="ТТК, ППР, КТП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ТТК, ППР, КТП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tooltip="Классификаторы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Классификаторы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tooltip="Комментарии, статьи, консультации" w:history="1">
              <w:proofErr w:type="gramStart"/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Комментарии, статьи</w:t>
              </w:r>
              <w:proofErr w:type="gramEnd"/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, консультации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tooltip="Картотека международных стандартов: ASTM, API, ASME, ISO, DNV, DIN, IP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994A23" w:rsidRPr="00994A23" w:rsidRDefault="00994A23" w:rsidP="0099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0"/>
                  <wp:docPr id="30" name="Рисунок 30" descr="http://docs.cntd.ru/general/images/pattern/bottom/logo-k.png">
                    <a:hlinkClick xmlns:a="http://schemas.openxmlformats.org/drawingml/2006/main" r:id="rId5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ocs.cntd.ru/general/images/pattern/bottom/logo-k.png">
                            <a:hlinkClick r:id="rId5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A23" w:rsidRPr="00994A23" w:rsidRDefault="00994A23" w:rsidP="00994A2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tooltip="Федеральное законодательство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tooltip="Региональное законодательство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tooltip="Образцы документов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tooltip="Все формы отчетности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Все формы отчетности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tooltip="Законодательство в вопросах и ответах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994A23" w:rsidRPr="00994A23" w:rsidRDefault="00994A23" w:rsidP="0099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important_docs_dr" w:tooltip="Важные документы" w:history="1">
              <w:r w:rsidRPr="00994A23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tooltip="Международное право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tooltip="Судебная практика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Судебная практика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tooltip="Комментарии, статьи, консультации" w:history="1">
              <w:proofErr w:type="gramStart"/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Комментарии, статьи</w:t>
              </w:r>
              <w:proofErr w:type="gramEnd"/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, консультации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tooltip="Справки" w:history="1">
              <w:r w:rsidRPr="00994A23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75" w:type="dxa"/>
            <w:tcBorders>
              <w:left w:val="single" w:sz="6" w:space="0" w:color="E0E0E0"/>
            </w:tcBorders>
            <w:hideMark/>
          </w:tcPr>
          <w:p w:rsidR="00994A23" w:rsidRPr="00994A23" w:rsidRDefault="00994A23" w:rsidP="00994A23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tooltip="Зарубежные и международные стандарты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ooltip="Профессиональная справочная система «Реформа технического регулирования»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ooltip="Профессиональные справочные системы «Техэксперт»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Техэксперт</w:t>
              </w:r>
              <w:proofErr w:type="spellEnd"/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»</w:t>
              </w:r>
            </w:hyperlink>
          </w:p>
          <w:p w:rsidR="00994A23" w:rsidRPr="00994A23" w:rsidRDefault="00994A23" w:rsidP="00994A2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tooltip="Профессиональные справочные системы «Кодекс»" w:history="1">
              <w:r w:rsidRPr="00994A2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994A23" w:rsidRPr="00994A23" w:rsidRDefault="00994A23" w:rsidP="00994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94A2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© АО «</w:t>
      </w:r>
      <w:hyperlink r:id="rId75" w:history="1">
        <w:r w:rsidRPr="00994A23">
          <w:rPr>
            <w:rFonts w:ascii="Times New Roman" w:eastAsia="Times New Roman" w:hAnsi="Times New Roman" w:cs="Times New Roman"/>
            <w:b/>
            <w:bCs/>
            <w:color w:val="00466E"/>
            <w:sz w:val="24"/>
            <w:szCs w:val="24"/>
            <w:u w:val="single"/>
            <w:lang w:eastAsia="ru-RU"/>
          </w:rPr>
          <w:t>Кодекс</w:t>
        </w:r>
      </w:hyperlink>
      <w:r w:rsidRPr="00994A2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», 2018</w:t>
      </w:r>
    </w:p>
    <w:p w:rsidR="00994A23" w:rsidRPr="00994A23" w:rsidRDefault="00994A23" w:rsidP="00994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994A23">
        <w:rPr>
          <w:rFonts w:ascii="Times New Roman" w:eastAsia="Times New Roman" w:hAnsi="Times New Roman" w:cs="Times New Roman"/>
          <w:color w:val="777777"/>
          <w:lang w:eastAsia="ru-RU"/>
        </w:rPr>
        <w:t>Исключительные авторские и смежные права принадлежат АО «Кодекс». </w:t>
      </w:r>
      <w:hyperlink r:id="rId76" w:history="1">
        <w:r w:rsidRPr="00994A23">
          <w:rPr>
            <w:rFonts w:ascii="Times New Roman" w:eastAsia="Times New Roman" w:hAnsi="Times New Roman" w:cs="Times New Roman"/>
            <w:color w:val="00466E"/>
            <w:u w:val="single"/>
            <w:lang w:eastAsia="ru-RU"/>
          </w:rPr>
          <w:t>Положение по обработке и защите персональных данных</w:t>
        </w:r>
      </w:hyperlink>
    </w:p>
    <w:p w:rsidR="00994A23" w:rsidRPr="00994A23" w:rsidRDefault="00994A23" w:rsidP="00994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994A23">
        <w:rPr>
          <w:rFonts w:ascii="Times New Roman" w:eastAsia="Times New Roman" w:hAnsi="Times New Roman" w:cs="Times New Roman"/>
          <w:color w:val="777777"/>
          <w:lang w:eastAsia="ru-RU"/>
        </w:rPr>
        <w:t xml:space="preserve">Версия сайта: 2.2.12 </w:t>
      </w:r>
    </w:p>
    <w:p w:rsidR="00994A23" w:rsidRPr="00994A23" w:rsidRDefault="00994A23" w:rsidP="00994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994A23">
        <w:rPr>
          <w:rFonts w:ascii="Times New Roman" w:eastAsia="Times New Roman" w:hAnsi="Times New Roman" w:cs="Times New Roman"/>
          <w:color w:val="777777"/>
          <w:sz w:val="20"/>
          <w:lang w:eastAsia="ru-RU"/>
        </w:rPr>
        <w:t>Мобильное приложение</w:t>
      </w:r>
      <w:r w:rsidRPr="00994A23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 </w:t>
      </w:r>
    </w:p>
    <w:p w:rsidR="00994A23" w:rsidRPr="00994A23" w:rsidRDefault="00994A23" w:rsidP="00994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994A23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 </w:t>
      </w:r>
    </w:p>
    <w:p w:rsidR="00994A23" w:rsidRPr="00994A23" w:rsidRDefault="00994A23" w:rsidP="00994A23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994A23" w:rsidRPr="00994A23" w:rsidRDefault="00994A23" w:rsidP="00994A23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0F6805" w:rsidRDefault="000F6805"/>
    <w:sectPr w:rsidR="000F6805" w:rsidSect="00994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364"/>
    <w:multiLevelType w:val="multilevel"/>
    <w:tmpl w:val="1AC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A81"/>
    <w:multiLevelType w:val="multilevel"/>
    <w:tmpl w:val="BB4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47C0"/>
    <w:multiLevelType w:val="multilevel"/>
    <w:tmpl w:val="A97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4A92"/>
    <w:multiLevelType w:val="multilevel"/>
    <w:tmpl w:val="046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2A2"/>
    <w:multiLevelType w:val="multilevel"/>
    <w:tmpl w:val="ED7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818C0"/>
    <w:multiLevelType w:val="multilevel"/>
    <w:tmpl w:val="7A6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41BD1"/>
    <w:multiLevelType w:val="multilevel"/>
    <w:tmpl w:val="9B8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65B73"/>
    <w:multiLevelType w:val="multilevel"/>
    <w:tmpl w:val="36D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A23"/>
    <w:rsid w:val="000F6805"/>
    <w:rsid w:val="005C3078"/>
    <w:rsid w:val="0099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05"/>
  </w:style>
  <w:style w:type="paragraph" w:styleId="1">
    <w:name w:val="heading 1"/>
    <w:basedOn w:val="a"/>
    <w:link w:val="10"/>
    <w:uiPriority w:val="9"/>
    <w:qFormat/>
    <w:rsid w:val="0099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4A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94A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4A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4A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4A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4A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4A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4A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94A23"/>
  </w:style>
  <w:style w:type="character" w:customStyle="1" w:styleId="info-title">
    <w:name w:val="info-title"/>
    <w:basedOn w:val="a0"/>
    <w:rsid w:val="00994A23"/>
  </w:style>
  <w:style w:type="paragraph" w:customStyle="1" w:styleId="headertext">
    <w:name w:val="headertext"/>
    <w:basedOn w:val="a"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A23"/>
    <w:rPr>
      <w:b/>
      <w:bCs/>
    </w:rPr>
  </w:style>
  <w:style w:type="paragraph" w:customStyle="1" w:styleId="copyright">
    <w:name w:val="copyright"/>
    <w:basedOn w:val="a"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94A23"/>
  </w:style>
  <w:style w:type="paragraph" w:styleId="a6">
    <w:name w:val="Balloon Text"/>
    <w:basedOn w:val="a"/>
    <w:link w:val="a7"/>
    <w:uiPriority w:val="99"/>
    <w:semiHidden/>
    <w:unhideWhenUsed/>
    <w:rsid w:val="0099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57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28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890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9014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65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68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549009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49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1005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172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1521601" TargetMode="External"/><Relationship Id="rId18" Type="http://schemas.openxmlformats.org/officeDocument/2006/relationships/hyperlink" Target="http://docs.cntd.ru/document/420234837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8.jpeg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50" Type="http://schemas.openxmlformats.org/officeDocument/2006/relationships/image" Target="media/image27.png"/><Relationship Id="rId55" Type="http://schemas.openxmlformats.org/officeDocument/2006/relationships/hyperlink" Target="http://docs.cntd.ru/search/ttkpprktp" TargetMode="External"/><Relationship Id="rId63" Type="http://schemas.openxmlformats.org/officeDocument/2006/relationships/hyperlink" Target="http://docs.cntd.ru/search/docsexamples" TargetMode="External"/><Relationship Id="rId68" Type="http://schemas.openxmlformats.org/officeDocument/2006/relationships/hyperlink" Target="http://sudrf.kodeks.ru/" TargetMode="External"/><Relationship Id="rId76" Type="http://schemas.openxmlformats.org/officeDocument/2006/relationships/hyperlink" Target="http://cdn.kodeks.net/assets/legal/polozhenie_po_obrabotke_i_zashite_personalnyh_dannyh.pdf" TargetMode="External"/><Relationship Id="rId7" Type="http://schemas.openxmlformats.org/officeDocument/2006/relationships/hyperlink" Target="http://docs.cntd.ru/document/441523044" TargetMode="External"/><Relationship Id="rId71" Type="http://schemas.openxmlformats.org/officeDocument/2006/relationships/hyperlink" Target="http://shop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1521601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53" Type="http://schemas.openxmlformats.org/officeDocument/2006/relationships/hyperlink" Target="http://docs.cntd.ru/search/toom" TargetMode="External"/><Relationship Id="rId58" Type="http://schemas.openxmlformats.org/officeDocument/2006/relationships/hyperlink" Target="http://docs.cntd.ru/search/internationalstandards/" TargetMode="External"/><Relationship Id="rId66" Type="http://schemas.openxmlformats.org/officeDocument/2006/relationships/hyperlink" Target="http://docs.cntd.ru/document/441525934" TargetMode="External"/><Relationship Id="rId74" Type="http://schemas.openxmlformats.org/officeDocument/2006/relationships/hyperlink" Target="http://www.kodeks.ru/" TargetMode="External"/><Relationship Id="rId5" Type="http://schemas.openxmlformats.org/officeDocument/2006/relationships/hyperlink" Target="http://docs.cntd.ru/document/441525704" TargetMode="External"/><Relationship Id="rId15" Type="http://schemas.openxmlformats.org/officeDocument/2006/relationships/hyperlink" Target="http://docs.cntd.ru/document/550135730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49" Type="http://schemas.openxmlformats.org/officeDocument/2006/relationships/hyperlink" Target="http://www.cntd.ru/" TargetMode="External"/><Relationship Id="rId57" Type="http://schemas.openxmlformats.org/officeDocument/2006/relationships/hyperlink" Target="http://docs.cntd.ru/search/kskteh/" TargetMode="External"/><Relationship Id="rId61" Type="http://schemas.openxmlformats.org/officeDocument/2006/relationships/hyperlink" Target="http://docs.cntd.ru/search/lawrf" TargetMode="External"/><Relationship Id="rId10" Type="http://schemas.openxmlformats.org/officeDocument/2006/relationships/hyperlink" Target="http://docs.cntd.ru/document/550135730" TargetMode="External"/><Relationship Id="rId19" Type="http://schemas.openxmlformats.org/officeDocument/2006/relationships/hyperlink" Target="http://docs.cntd.ru/document/441529788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23.jpeg"/><Relationship Id="rId52" Type="http://schemas.openxmlformats.org/officeDocument/2006/relationships/hyperlink" Target="http://docs.cntd.ru/search/tpd" TargetMode="External"/><Relationship Id="rId60" Type="http://schemas.openxmlformats.org/officeDocument/2006/relationships/image" Target="media/image28.png"/><Relationship Id="rId65" Type="http://schemas.openxmlformats.org/officeDocument/2006/relationships/hyperlink" Target="http://docs.cntd.ru/search/lawfaq" TargetMode="External"/><Relationship Id="rId73" Type="http://schemas.openxmlformats.org/officeDocument/2006/relationships/hyperlink" Target="http://www.cntd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521601" TargetMode="External"/><Relationship Id="rId14" Type="http://schemas.openxmlformats.org/officeDocument/2006/relationships/hyperlink" Target="http://docs.cntd.ru/document/441525704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image" Target="media/image22.jpeg"/><Relationship Id="rId48" Type="http://schemas.openxmlformats.org/officeDocument/2006/relationships/hyperlink" Target="http://docs.cntd.ru/document/441525704" TargetMode="External"/><Relationship Id="rId56" Type="http://schemas.openxmlformats.org/officeDocument/2006/relationships/hyperlink" Target="http://docs.cntd.ru/search/classifications" TargetMode="External"/><Relationship Id="rId64" Type="http://schemas.openxmlformats.org/officeDocument/2006/relationships/hyperlink" Target="http://docs.cntd.ru/search/allforms" TargetMode="External"/><Relationship Id="rId69" Type="http://schemas.openxmlformats.org/officeDocument/2006/relationships/hyperlink" Target="http://docs.cntd.ru/search/kskko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441522124" TargetMode="External"/><Relationship Id="rId51" Type="http://schemas.openxmlformats.org/officeDocument/2006/relationships/hyperlink" Target="http://docs.cntd.ru/search/tehstandardst" TargetMode="External"/><Relationship Id="rId72" Type="http://schemas.openxmlformats.org/officeDocument/2006/relationships/hyperlink" Target="http://reforma.kodeks.ru/reform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41529788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46" Type="http://schemas.openxmlformats.org/officeDocument/2006/relationships/image" Target="media/image25.jpeg"/><Relationship Id="rId59" Type="http://schemas.openxmlformats.org/officeDocument/2006/relationships/hyperlink" Target="http://www.kodeks.ru/" TargetMode="External"/><Relationship Id="rId67" Type="http://schemas.openxmlformats.org/officeDocument/2006/relationships/hyperlink" Target="http://docs.cntd.ru/search/internationallaw" TargetMode="External"/><Relationship Id="rId20" Type="http://schemas.openxmlformats.org/officeDocument/2006/relationships/hyperlink" Target="http://docs.cntd.ru/document/441528206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docs.cntd.ru/document/441525934" TargetMode="External"/><Relationship Id="rId62" Type="http://schemas.openxmlformats.org/officeDocument/2006/relationships/hyperlink" Target="http://docs.cntd.ru/search/region" TargetMode="External"/><Relationship Id="rId70" Type="http://schemas.openxmlformats.org/officeDocument/2006/relationships/hyperlink" Target="http://docs.cntd.ru/search/information" TargetMode="External"/><Relationship Id="rId75" Type="http://schemas.openxmlformats.org/officeDocument/2006/relationships/hyperlink" Target="http://www.kode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523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2018-12-01T05:31:00Z</dcterms:created>
  <dcterms:modified xsi:type="dcterms:W3CDTF">2018-12-01T05:31:00Z</dcterms:modified>
</cp:coreProperties>
</file>